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66" w:rsidRPr="00482766" w:rsidRDefault="00482766" w:rsidP="00AF6D99">
      <w:pPr>
        <w:keepNext/>
        <w:pBdr>
          <w:bottom w:val="single" w:sz="4" w:space="1" w:color="CCC0D9"/>
        </w:pBdr>
        <w:spacing w:before="360" w:after="120"/>
        <w:jc w:val="center"/>
        <w:outlineLvl w:val="1"/>
        <w:rPr>
          <w:rFonts w:ascii="Arial" w:eastAsia="Times New Roman" w:hAnsi="Arial" w:cs="Arial"/>
          <w:b/>
          <w:sz w:val="24"/>
          <w:szCs w:val="24"/>
        </w:rPr>
      </w:pPr>
      <w:bookmarkStart w:id="0" w:name="_Toc159992042"/>
      <w:bookmarkStart w:id="1" w:name="_GoBack"/>
      <w:bookmarkEnd w:id="1"/>
      <w:r w:rsidRPr="00482766">
        <w:rPr>
          <w:rFonts w:ascii="Arial" w:eastAsia="Times New Roman" w:hAnsi="Arial" w:cs="Arial"/>
          <w:b/>
          <w:sz w:val="24"/>
          <w:szCs w:val="24"/>
        </w:rPr>
        <w:t>Terms of reference for examin</w:t>
      </w:r>
      <w:r w:rsidR="00FB1F08">
        <w:rPr>
          <w:rFonts w:ascii="Arial" w:eastAsia="Times New Roman" w:hAnsi="Arial" w:cs="Arial"/>
          <w:b/>
          <w:sz w:val="24"/>
          <w:szCs w:val="24"/>
        </w:rPr>
        <w:t>ation</w:t>
      </w:r>
      <w:r w:rsidRPr="00482766">
        <w:rPr>
          <w:rFonts w:ascii="Arial" w:eastAsia="Times New Roman" w:hAnsi="Arial" w:cs="Arial"/>
          <w:b/>
          <w:sz w:val="24"/>
          <w:szCs w:val="24"/>
        </w:rPr>
        <w:t xml:space="preserve"> panels</w:t>
      </w:r>
    </w:p>
    <w:bookmarkEnd w:id="0"/>
    <w:p w:rsidR="00482766" w:rsidRPr="00F93368" w:rsidRDefault="00FB1F08" w:rsidP="00225D21">
      <w:pPr>
        <w:spacing w:after="120"/>
        <w:rPr>
          <w:rFonts w:ascii="Arial" w:eastAsia="Times New Roman" w:hAnsi="Arial" w:cs="Arial"/>
          <w:szCs w:val="20"/>
        </w:rPr>
      </w:pPr>
      <w:r>
        <w:rPr>
          <w:rFonts w:ascii="Arial" w:eastAsia="Times New Roman" w:hAnsi="Arial" w:cs="Arial"/>
          <w:bCs/>
          <w:szCs w:val="20"/>
        </w:rPr>
        <w:t>Each examination</w:t>
      </w:r>
      <w:r w:rsidR="00482766" w:rsidRPr="00F93368">
        <w:rPr>
          <w:rFonts w:ascii="Arial" w:eastAsia="Times New Roman" w:hAnsi="Arial" w:cs="Arial"/>
          <w:bCs/>
          <w:szCs w:val="20"/>
        </w:rPr>
        <w:t xml:space="preserve"> panel is responsible for setting the annual examination for an ATAR course in accordance with the examination design brief for that course. </w:t>
      </w:r>
      <w:r w:rsidR="00482766" w:rsidRPr="00F93368">
        <w:rPr>
          <w:rFonts w:ascii="Arial" w:eastAsia="Times New Roman" w:hAnsi="Arial" w:cs="Arial"/>
          <w:szCs w:val="20"/>
        </w:rPr>
        <w:t xml:space="preserve">This requires the construction of a fair, valid and reliable examination that tests what has been learned in the course and that discriminates effectively amongst candidates. </w:t>
      </w:r>
    </w:p>
    <w:p w:rsidR="00482766" w:rsidRPr="00F93368" w:rsidRDefault="00482766" w:rsidP="00225D21">
      <w:pPr>
        <w:spacing w:after="120"/>
        <w:rPr>
          <w:rFonts w:ascii="Arial" w:eastAsia="Times New Roman" w:hAnsi="Arial" w:cs="Arial"/>
          <w:szCs w:val="20"/>
        </w:rPr>
      </w:pPr>
      <w:r w:rsidRPr="00F93368">
        <w:rPr>
          <w:rFonts w:ascii="Arial" w:eastAsia="Times New Roman" w:hAnsi="Arial" w:cs="Arial"/>
          <w:szCs w:val="20"/>
        </w:rPr>
        <w:t>Each examin</w:t>
      </w:r>
      <w:r w:rsidR="00FB1F08">
        <w:rPr>
          <w:rFonts w:ascii="Arial" w:eastAsia="Times New Roman" w:hAnsi="Arial" w:cs="Arial"/>
          <w:szCs w:val="20"/>
        </w:rPr>
        <w:t>ation</w:t>
      </w:r>
      <w:r w:rsidRPr="00F93368">
        <w:rPr>
          <w:rFonts w:ascii="Arial" w:eastAsia="Times New Roman" w:hAnsi="Arial" w:cs="Arial"/>
          <w:szCs w:val="20"/>
        </w:rPr>
        <w:t xml:space="preserve"> panel develops all </w:t>
      </w:r>
      <w:r w:rsidR="00792922" w:rsidRPr="00F93368">
        <w:rPr>
          <w:rFonts w:ascii="Arial" w:eastAsia="Times New Roman" w:hAnsi="Arial" w:cs="Arial"/>
          <w:szCs w:val="20"/>
        </w:rPr>
        <w:t xml:space="preserve">of the </w:t>
      </w:r>
      <w:r w:rsidRPr="00F93368">
        <w:rPr>
          <w:rFonts w:ascii="Arial" w:eastAsia="Times New Roman" w:hAnsi="Arial" w:cs="Arial"/>
          <w:szCs w:val="20"/>
        </w:rPr>
        <w:t>examination materials</w:t>
      </w:r>
      <w:r w:rsidRPr="00F93368">
        <w:rPr>
          <w:rFonts w:ascii="Arial" w:eastAsia="Times New Roman" w:hAnsi="Arial" w:cs="Arial"/>
          <w:bCs/>
          <w:szCs w:val="20"/>
        </w:rPr>
        <w:t xml:space="preserve"> </w:t>
      </w:r>
      <w:r w:rsidRPr="00F93368">
        <w:rPr>
          <w:rFonts w:ascii="Arial" w:eastAsia="Times New Roman" w:hAnsi="Arial" w:cs="Arial"/>
          <w:szCs w:val="20"/>
        </w:rPr>
        <w:t xml:space="preserve">(except formula and data booklets/sheets), including the written paper and, where applicable, the practical materials, marking keys, grids of content that map the examination to the syllabus and, where required, stimulus or source booklets, stimulus materials, audio recordings, recording scripts, translations of reading and listening passages, acknowledgements and tolerances. The presentation of these materials must be as consistent as possible across the range of examinations. </w:t>
      </w:r>
    </w:p>
    <w:p w:rsidR="00482766" w:rsidRPr="00F93368" w:rsidRDefault="00792922" w:rsidP="00225D21">
      <w:pPr>
        <w:spacing w:after="120"/>
        <w:rPr>
          <w:rFonts w:ascii="Arial" w:eastAsia="Times New Roman" w:hAnsi="Arial" w:cs="Arial"/>
          <w:bCs/>
          <w:szCs w:val="20"/>
        </w:rPr>
      </w:pPr>
      <w:r w:rsidRPr="00F93368">
        <w:rPr>
          <w:rFonts w:ascii="Arial" w:eastAsia="Times New Roman" w:hAnsi="Arial" w:cs="Arial"/>
          <w:bCs/>
          <w:szCs w:val="20"/>
        </w:rPr>
        <w:t>Following submission e</w:t>
      </w:r>
      <w:r w:rsidR="00482766" w:rsidRPr="00F93368">
        <w:rPr>
          <w:rFonts w:ascii="Arial" w:eastAsia="Times New Roman" w:hAnsi="Arial" w:cs="Arial"/>
          <w:bCs/>
          <w:szCs w:val="20"/>
        </w:rPr>
        <w:t>ach examin</w:t>
      </w:r>
      <w:r w:rsidR="00FB1F08">
        <w:rPr>
          <w:rFonts w:ascii="Arial" w:eastAsia="Times New Roman" w:hAnsi="Arial" w:cs="Arial"/>
          <w:bCs/>
          <w:szCs w:val="20"/>
        </w:rPr>
        <w:t>ation</w:t>
      </w:r>
      <w:r w:rsidR="00482766" w:rsidRPr="00F93368">
        <w:rPr>
          <w:rFonts w:ascii="Arial" w:eastAsia="Times New Roman" w:hAnsi="Arial" w:cs="Arial"/>
          <w:bCs/>
          <w:szCs w:val="20"/>
        </w:rPr>
        <w:t xml:space="preserve"> panel is responsible for responding to expert advice on the examination materials during the </w:t>
      </w:r>
      <w:r w:rsidRPr="00F93368">
        <w:rPr>
          <w:rFonts w:ascii="Arial" w:eastAsia="Times New Roman" w:hAnsi="Arial" w:cs="Arial"/>
          <w:bCs/>
          <w:szCs w:val="20"/>
        </w:rPr>
        <w:t xml:space="preserve">quality assurance </w:t>
      </w:r>
      <w:r w:rsidR="00482766" w:rsidRPr="00F93368">
        <w:rPr>
          <w:rFonts w:ascii="Arial" w:eastAsia="Times New Roman" w:hAnsi="Arial" w:cs="Arial"/>
          <w:bCs/>
          <w:szCs w:val="20"/>
        </w:rPr>
        <w:t xml:space="preserve">process. </w:t>
      </w:r>
    </w:p>
    <w:p w:rsidR="00482766" w:rsidRPr="00482766" w:rsidRDefault="00482766" w:rsidP="00225D21">
      <w:pPr>
        <w:keepNext/>
        <w:outlineLvl w:val="1"/>
        <w:rPr>
          <w:rFonts w:ascii="Arial" w:eastAsia="Times New Roman" w:hAnsi="Arial" w:cs="Arial"/>
          <w:b/>
        </w:rPr>
      </w:pPr>
      <w:r w:rsidRPr="00482766">
        <w:rPr>
          <w:rFonts w:ascii="Arial" w:eastAsia="Times New Roman" w:hAnsi="Arial" w:cs="Arial"/>
          <w:b/>
        </w:rPr>
        <w:t>Membership</w:t>
      </w:r>
    </w:p>
    <w:p w:rsidR="00482766" w:rsidRPr="00F93368" w:rsidRDefault="00FB1F08" w:rsidP="00482766">
      <w:pPr>
        <w:spacing w:after="60"/>
        <w:rPr>
          <w:rFonts w:ascii="Arial" w:eastAsia="Times New Roman" w:hAnsi="Arial" w:cs="Arial"/>
          <w:bCs/>
          <w:szCs w:val="20"/>
        </w:rPr>
      </w:pPr>
      <w:r>
        <w:rPr>
          <w:rFonts w:ascii="Arial" w:eastAsia="Times New Roman" w:hAnsi="Arial" w:cs="Arial"/>
          <w:bCs/>
          <w:szCs w:val="20"/>
        </w:rPr>
        <w:t xml:space="preserve">An examination </w:t>
      </w:r>
      <w:r w:rsidR="00792922" w:rsidRPr="00F93368">
        <w:rPr>
          <w:rFonts w:ascii="Arial" w:eastAsia="Times New Roman" w:hAnsi="Arial" w:cs="Arial"/>
          <w:bCs/>
          <w:szCs w:val="20"/>
        </w:rPr>
        <w:t>panel can be either a Structure One or a Structure Two panel.</w:t>
      </w:r>
    </w:p>
    <w:p w:rsidR="00482766" w:rsidRPr="00F93368" w:rsidRDefault="00792922" w:rsidP="005E08FD">
      <w:pPr>
        <w:ind w:left="1701" w:hanging="1701"/>
        <w:contextualSpacing/>
        <w:rPr>
          <w:rFonts w:ascii="Arial" w:eastAsia="Times New Roman" w:hAnsi="Arial" w:cs="Arial"/>
          <w:szCs w:val="20"/>
        </w:rPr>
      </w:pPr>
      <w:r w:rsidRPr="00F93368">
        <w:rPr>
          <w:rFonts w:ascii="Arial" w:eastAsia="Times New Roman" w:hAnsi="Arial" w:cs="Arial"/>
          <w:szCs w:val="20"/>
        </w:rPr>
        <w:t>Structure O</w:t>
      </w:r>
      <w:r w:rsidR="00482766" w:rsidRPr="00F93368">
        <w:rPr>
          <w:rFonts w:ascii="Arial" w:eastAsia="Times New Roman" w:hAnsi="Arial" w:cs="Arial"/>
          <w:szCs w:val="20"/>
        </w:rPr>
        <w:t xml:space="preserve">ne: </w:t>
      </w:r>
      <w:r w:rsidR="005E08FD">
        <w:rPr>
          <w:rFonts w:ascii="Arial" w:eastAsia="Times New Roman" w:hAnsi="Arial" w:cs="Arial"/>
          <w:szCs w:val="20"/>
        </w:rPr>
        <w:tab/>
      </w:r>
      <w:r w:rsidR="00482766" w:rsidRPr="00F93368">
        <w:rPr>
          <w:rFonts w:ascii="Arial" w:eastAsia="Times New Roman" w:hAnsi="Arial" w:cs="Arial"/>
          <w:szCs w:val="20"/>
        </w:rPr>
        <w:t>an examin</w:t>
      </w:r>
      <w:r w:rsidR="00FB1F08">
        <w:rPr>
          <w:rFonts w:ascii="Arial" w:eastAsia="Times New Roman" w:hAnsi="Arial" w:cs="Arial"/>
          <w:szCs w:val="20"/>
        </w:rPr>
        <w:t>ation</w:t>
      </w:r>
      <w:r w:rsidR="00482766" w:rsidRPr="00F93368">
        <w:rPr>
          <w:rFonts w:ascii="Arial" w:eastAsia="Times New Roman" w:hAnsi="Arial" w:cs="Arial"/>
          <w:szCs w:val="20"/>
        </w:rPr>
        <w:t xml:space="preserve"> panel consisting of a </w:t>
      </w:r>
      <w:r w:rsidRPr="00F93368">
        <w:rPr>
          <w:rFonts w:ascii="Arial" w:eastAsia="Times New Roman" w:hAnsi="Arial" w:cs="Arial"/>
          <w:szCs w:val="20"/>
        </w:rPr>
        <w:t>C</w:t>
      </w:r>
      <w:r w:rsidR="00482766" w:rsidRPr="00F93368">
        <w:rPr>
          <w:rFonts w:ascii="Arial" w:eastAsia="Times New Roman" w:hAnsi="Arial" w:cs="Arial"/>
          <w:szCs w:val="20"/>
        </w:rPr>
        <w:t xml:space="preserve">hief examiner and two </w:t>
      </w:r>
      <w:r w:rsidRPr="00F93368">
        <w:rPr>
          <w:rFonts w:ascii="Arial" w:eastAsia="Times New Roman" w:hAnsi="Arial" w:cs="Arial"/>
          <w:szCs w:val="20"/>
        </w:rPr>
        <w:t>E</w:t>
      </w:r>
      <w:r w:rsidR="00482766" w:rsidRPr="00F93368">
        <w:rPr>
          <w:rFonts w:ascii="Arial" w:eastAsia="Times New Roman" w:hAnsi="Arial" w:cs="Arial"/>
          <w:szCs w:val="20"/>
        </w:rPr>
        <w:t>xaminers, one</w:t>
      </w:r>
      <w:r w:rsidRPr="00F93368">
        <w:rPr>
          <w:rFonts w:ascii="Arial" w:eastAsia="Times New Roman" w:hAnsi="Arial" w:cs="Arial"/>
          <w:szCs w:val="20"/>
        </w:rPr>
        <w:t xml:space="preserve"> Independent reviewer and one P</w:t>
      </w:r>
      <w:r w:rsidR="00482766" w:rsidRPr="00F93368">
        <w:rPr>
          <w:rFonts w:ascii="Arial" w:eastAsia="Times New Roman" w:hAnsi="Arial" w:cs="Arial"/>
          <w:szCs w:val="20"/>
        </w:rPr>
        <w:t>aper checker.</w:t>
      </w:r>
      <w:r w:rsidR="00482766" w:rsidRPr="00F93368">
        <w:rPr>
          <w:rFonts w:ascii="Arial" w:eastAsia="Cambria" w:hAnsi="Arial" w:cs="Arial"/>
          <w:sz w:val="24"/>
          <w:szCs w:val="24"/>
        </w:rPr>
        <w:t xml:space="preserve"> </w:t>
      </w:r>
    </w:p>
    <w:p w:rsidR="00482766" w:rsidRPr="00F93368" w:rsidRDefault="00482766" w:rsidP="00225D21">
      <w:pPr>
        <w:spacing w:after="120"/>
        <w:ind w:left="1701" w:hanging="1701"/>
        <w:rPr>
          <w:rFonts w:ascii="Arial" w:eastAsia="Times New Roman" w:hAnsi="Arial" w:cs="Arial"/>
          <w:szCs w:val="20"/>
        </w:rPr>
      </w:pPr>
      <w:r w:rsidRPr="00F93368">
        <w:rPr>
          <w:rFonts w:ascii="Arial" w:hAnsi="Arial" w:cs="Arial"/>
          <w:szCs w:val="20"/>
        </w:rPr>
        <w:t xml:space="preserve">Structure </w:t>
      </w:r>
      <w:r w:rsidR="00792922" w:rsidRPr="00F93368">
        <w:rPr>
          <w:rFonts w:ascii="Arial" w:hAnsi="Arial" w:cs="Arial"/>
          <w:szCs w:val="20"/>
        </w:rPr>
        <w:t>T</w:t>
      </w:r>
      <w:r w:rsidRPr="00F93368">
        <w:rPr>
          <w:rFonts w:ascii="Arial" w:hAnsi="Arial" w:cs="Arial"/>
          <w:szCs w:val="20"/>
        </w:rPr>
        <w:t xml:space="preserve">wo: </w:t>
      </w:r>
      <w:r w:rsidR="005E08FD">
        <w:rPr>
          <w:rFonts w:ascii="Arial" w:hAnsi="Arial" w:cs="Arial"/>
          <w:szCs w:val="20"/>
        </w:rPr>
        <w:tab/>
      </w:r>
      <w:r w:rsidR="00792922" w:rsidRPr="00F93368">
        <w:rPr>
          <w:rFonts w:ascii="Arial" w:hAnsi="Arial" w:cs="Arial"/>
          <w:szCs w:val="20"/>
        </w:rPr>
        <w:t xml:space="preserve">where the pool of expertise is limited, </w:t>
      </w:r>
      <w:r w:rsidRPr="00F93368">
        <w:rPr>
          <w:rFonts w:ascii="Arial" w:hAnsi="Arial" w:cs="Arial"/>
          <w:szCs w:val="20"/>
        </w:rPr>
        <w:t>an ex</w:t>
      </w:r>
      <w:r w:rsidR="00792922" w:rsidRPr="00F93368">
        <w:rPr>
          <w:rFonts w:ascii="Arial" w:hAnsi="Arial" w:cs="Arial"/>
          <w:szCs w:val="20"/>
        </w:rPr>
        <w:t>amin</w:t>
      </w:r>
      <w:r w:rsidR="00FB1F08">
        <w:rPr>
          <w:rFonts w:ascii="Arial" w:hAnsi="Arial" w:cs="Arial"/>
          <w:szCs w:val="20"/>
        </w:rPr>
        <w:t>ation</w:t>
      </w:r>
      <w:r w:rsidR="00792922" w:rsidRPr="00F93368">
        <w:rPr>
          <w:rFonts w:ascii="Arial" w:hAnsi="Arial" w:cs="Arial"/>
          <w:szCs w:val="20"/>
        </w:rPr>
        <w:t xml:space="preserve"> panel consisting of an Examination writer, one E</w:t>
      </w:r>
      <w:r w:rsidRPr="00F93368">
        <w:rPr>
          <w:rFonts w:ascii="Arial" w:hAnsi="Arial" w:cs="Arial"/>
          <w:szCs w:val="20"/>
        </w:rPr>
        <w:t>xamina</w:t>
      </w:r>
      <w:r w:rsidR="00792922" w:rsidRPr="00F93368">
        <w:rPr>
          <w:rFonts w:ascii="Arial" w:hAnsi="Arial" w:cs="Arial"/>
          <w:szCs w:val="20"/>
        </w:rPr>
        <w:t>tion reviewer and at least one Paper checker.</w:t>
      </w:r>
    </w:p>
    <w:p w:rsidR="00482766" w:rsidRPr="00F93368" w:rsidRDefault="00482766" w:rsidP="00225D21">
      <w:pPr>
        <w:spacing w:after="120"/>
        <w:rPr>
          <w:rFonts w:ascii="Arial" w:eastAsia="Times New Roman" w:hAnsi="Arial" w:cs="Arial"/>
          <w:szCs w:val="20"/>
        </w:rPr>
      </w:pPr>
      <w:r w:rsidRPr="00F93368">
        <w:rPr>
          <w:rFonts w:ascii="Arial" w:eastAsia="Times New Roman" w:hAnsi="Arial" w:cs="Arial"/>
          <w:szCs w:val="20"/>
        </w:rPr>
        <w:t xml:space="preserve">The </w:t>
      </w:r>
      <w:r w:rsidR="00FB1F08">
        <w:rPr>
          <w:rFonts w:ascii="Arial" w:eastAsia="Times New Roman" w:hAnsi="Arial" w:cs="Arial"/>
          <w:szCs w:val="20"/>
        </w:rPr>
        <w:t>composition of the examination</w:t>
      </w:r>
      <w:r w:rsidRPr="00F93368">
        <w:rPr>
          <w:rFonts w:ascii="Arial" w:eastAsia="Times New Roman" w:hAnsi="Arial" w:cs="Arial"/>
          <w:szCs w:val="20"/>
        </w:rPr>
        <w:t xml:space="preserve"> panels will include, where possible, representatives from the school sector/systems, the university sector and, where appropriate, the training sector.</w:t>
      </w:r>
    </w:p>
    <w:p w:rsidR="00482766" w:rsidRPr="00F93368" w:rsidRDefault="00482766" w:rsidP="00225D21">
      <w:pPr>
        <w:spacing w:after="120"/>
        <w:rPr>
          <w:rFonts w:ascii="Arial" w:eastAsia="Times New Roman" w:hAnsi="Arial" w:cs="Arial"/>
          <w:szCs w:val="20"/>
        </w:rPr>
      </w:pPr>
      <w:r w:rsidRPr="00F93368">
        <w:rPr>
          <w:rFonts w:ascii="Arial" w:eastAsia="Times New Roman" w:hAnsi="Arial" w:cs="Arial"/>
          <w:szCs w:val="20"/>
        </w:rPr>
        <w:t>Examin</w:t>
      </w:r>
      <w:r w:rsidR="00FB1F08">
        <w:rPr>
          <w:rFonts w:ascii="Arial" w:eastAsia="Times New Roman" w:hAnsi="Arial" w:cs="Arial"/>
          <w:szCs w:val="20"/>
        </w:rPr>
        <w:t>ation</w:t>
      </w:r>
      <w:r w:rsidRPr="00F93368">
        <w:rPr>
          <w:rFonts w:ascii="Arial" w:eastAsia="Times New Roman" w:hAnsi="Arial" w:cs="Arial"/>
          <w:szCs w:val="20"/>
        </w:rPr>
        <w:t xml:space="preserve"> panel members are </w:t>
      </w:r>
      <w:r w:rsidR="00792922" w:rsidRPr="00F93368">
        <w:rPr>
          <w:rFonts w:ascii="Arial" w:eastAsia="Times New Roman" w:hAnsi="Arial" w:cs="Arial"/>
          <w:szCs w:val="20"/>
        </w:rPr>
        <w:t>appointed</w:t>
      </w:r>
      <w:r w:rsidRPr="00F93368">
        <w:rPr>
          <w:rFonts w:ascii="Arial" w:eastAsia="Times New Roman" w:hAnsi="Arial" w:cs="Arial"/>
          <w:szCs w:val="20"/>
        </w:rPr>
        <w:t xml:space="preserve"> for one year. To ensure continuity and consistency, examin</w:t>
      </w:r>
      <w:r w:rsidR="00FB1F08">
        <w:rPr>
          <w:rFonts w:ascii="Arial" w:eastAsia="Times New Roman" w:hAnsi="Arial" w:cs="Arial"/>
          <w:szCs w:val="20"/>
        </w:rPr>
        <w:t>ation</w:t>
      </w:r>
      <w:r w:rsidRPr="00F93368">
        <w:rPr>
          <w:rFonts w:ascii="Arial" w:eastAsia="Times New Roman" w:hAnsi="Arial" w:cs="Arial"/>
          <w:szCs w:val="20"/>
        </w:rPr>
        <w:t xml:space="preserve"> panel members with previous successful experience may be </w:t>
      </w:r>
      <w:r w:rsidR="00792922" w:rsidRPr="00F93368">
        <w:rPr>
          <w:rFonts w:ascii="Arial" w:eastAsia="Times New Roman" w:hAnsi="Arial" w:cs="Arial"/>
          <w:szCs w:val="20"/>
        </w:rPr>
        <w:t>appointed</w:t>
      </w:r>
      <w:r w:rsidRPr="00F93368">
        <w:rPr>
          <w:rFonts w:ascii="Arial" w:eastAsia="Times New Roman" w:hAnsi="Arial" w:cs="Arial"/>
          <w:szCs w:val="20"/>
        </w:rPr>
        <w:t xml:space="preserve"> in subsequent years. </w:t>
      </w:r>
      <w:r w:rsidRPr="00F93368">
        <w:rPr>
          <w:rFonts w:ascii="Arial" w:hAnsi="Arial" w:cs="Arial"/>
          <w:szCs w:val="20"/>
        </w:rPr>
        <w:t xml:space="preserve">Applications </w:t>
      </w:r>
      <w:r w:rsidR="00792922" w:rsidRPr="00F93368">
        <w:rPr>
          <w:rFonts w:ascii="Arial" w:hAnsi="Arial" w:cs="Arial"/>
          <w:szCs w:val="20"/>
        </w:rPr>
        <w:t>for membership of an examin</w:t>
      </w:r>
      <w:r w:rsidR="00FB1F08">
        <w:rPr>
          <w:rFonts w:ascii="Arial" w:hAnsi="Arial" w:cs="Arial"/>
          <w:szCs w:val="20"/>
        </w:rPr>
        <w:t>ation</w:t>
      </w:r>
      <w:r w:rsidR="00792922" w:rsidRPr="00F93368">
        <w:rPr>
          <w:rFonts w:ascii="Arial" w:hAnsi="Arial" w:cs="Arial"/>
          <w:szCs w:val="20"/>
        </w:rPr>
        <w:t xml:space="preserve"> panel are invited by email and advertised in the </w:t>
      </w:r>
      <w:r w:rsidR="005E08FD">
        <w:rPr>
          <w:rFonts w:ascii="Arial" w:hAnsi="Arial" w:cs="Arial"/>
          <w:i/>
          <w:szCs w:val="20"/>
        </w:rPr>
        <w:t xml:space="preserve">11to12 Circular </w:t>
      </w:r>
      <w:r w:rsidR="005E08FD" w:rsidRPr="005E08FD">
        <w:rPr>
          <w:rFonts w:ascii="Arial" w:hAnsi="Arial" w:cs="Arial"/>
          <w:szCs w:val="20"/>
        </w:rPr>
        <w:t xml:space="preserve">published on the </w:t>
      </w:r>
      <w:r w:rsidR="00AF6D99">
        <w:rPr>
          <w:rFonts w:ascii="Arial" w:hAnsi="Arial" w:cs="Arial"/>
          <w:szCs w:val="20"/>
        </w:rPr>
        <w:t xml:space="preserve">School Curriculum and Standards </w:t>
      </w:r>
      <w:r w:rsidR="005E08FD" w:rsidRPr="005E08FD">
        <w:rPr>
          <w:rFonts w:ascii="Arial" w:hAnsi="Arial" w:cs="Arial"/>
          <w:szCs w:val="20"/>
        </w:rPr>
        <w:t>A</w:t>
      </w:r>
      <w:r w:rsidR="00024C3A">
        <w:rPr>
          <w:rFonts w:ascii="Arial" w:hAnsi="Arial" w:cs="Arial"/>
          <w:szCs w:val="20"/>
        </w:rPr>
        <w:t>uthority</w:t>
      </w:r>
      <w:r w:rsidR="00AF6D99">
        <w:rPr>
          <w:rFonts w:ascii="Arial" w:hAnsi="Arial" w:cs="Arial"/>
          <w:szCs w:val="20"/>
        </w:rPr>
        <w:t xml:space="preserve"> (the Authority)</w:t>
      </w:r>
      <w:r w:rsidR="005E08FD" w:rsidRPr="005E08FD">
        <w:rPr>
          <w:rFonts w:ascii="Arial" w:hAnsi="Arial" w:cs="Arial"/>
          <w:szCs w:val="20"/>
        </w:rPr>
        <w:t xml:space="preserve"> website.</w:t>
      </w:r>
    </w:p>
    <w:p w:rsidR="00482766" w:rsidRPr="00F93368" w:rsidRDefault="00FB1F08" w:rsidP="00225D21">
      <w:pPr>
        <w:spacing w:after="120"/>
        <w:rPr>
          <w:rFonts w:ascii="Arial" w:eastAsia="Times New Roman" w:hAnsi="Arial" w:cs="Arial"/>
          <w:bCs/>
          <w:szCs w:val="20"/>
        </w:rPr>
      </w:pPr>
      <w:r>
        <w:rPr>
          <w:rFonts w:ascii="Arial" w:eastAsia="Times New Roman" w:hAnsi="Arial" w:cs="Arial"/>
          <w:bCs/>
          <w:szCs w:val="20"/>
        </w:rPr>
        <w:t>The work of the examination</w:t>
      </w:r>
      <w:r w:rsidR="00482766" w:rsidRPr="00F93368">
        <w:rPr>
          <w:rFonts w:ascii="Arial" w:eastAsia="Times New Roman" w:hAnsi="Arial" w:cs="Arial"/>
          <w:bCs/>
          <w:szCs w:val="20"/>
        </w:rPr>
        <w:t xml:space="preserve"> panel is supported by the secretariat of the Authority through its data processing, review and </w:t>
      </w:r>
      <w:r w:rsidR="00792922" w:rsidRPr="00F93368">
        <w:rPr>
          <w:rFonts w:ascii="Arial" w:eastAsia="Times New Roman" w:hAnsi="Arial" w:cs="Arial"/>
          <w:bCs/>
          <w:szCs w:val="20"/>
        </w:rPr>
        <w:t>quality assurance</w:t>
      </w:r>
      <w:r w:rsidR="00482766" w:rsidRPr="00F93368">
        <w:rPr>
          <w:rFonts w:ascii="Arial" w:eastAsia="Times New Roman" w:hAnsi="Arial" w:cs="Arial"/>
          <w:bCs/>
          <w:szCs w:val="20"/>
        </w:rPr>
        <w:t xml:space="preserve"> processes. </w:t>
      </w:r>
    </w:p>
    <w:p w:rsidR="00482766" w:rsidRPr="00482766" w:rsidRDefault="00482766" w:rsidP="00225D21">
      <w:pPr>
        <w:keepNext/>
        <w:outlineLvl w:val="1"/>
        <w:rPr>
          <w:rFonts w:ascii="Arial" w:eastAsia="Times New Roman" w:hAnsi="Arial" w:cs="Arial"/>
          <w:b/>
        </w:rPr>
      </w:pPr>
      <w:r w:rsidRPr="00482766">
        <w:rPr>
          <w:rFonts w:ascii="Arial" w:eastAsia="Times New Roman" w:hAnsi="Arial" w:cs="Arial"/>
          <w:b/>
        </w:rPr>
        <w:t>Selection criteria</w:t>
      </w:r>
    </w:p>
    <w:p w:rsidR="00482766" w:rsidRPr="00F93368" w:rsidRDefault="00482766" w:rsidP="00482766">
      <w:pPr>
        <w:rPr>
          <w:rFonts w:ascii="Arial" w:hAnsi="Arial" w:cs="Arial"/>
          <w:szCs w:val="20"/>
        </w:rPr>
      </w:pPr>
      <w:r w:rsidRPr="00F93368">
        <w:rPr>
          <w:rFonts w:ascii="Arial" w:hAnsi="Arial" w:cs="Arial"/>
          <w:szCs w:val="20"/>
        </w:rPr>
        <w:t>To be successful, applicants are expected to demonstrate:</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appropriate qualifications and experience as a teacher of senior secondary students, first-year university or training students in the relevant course or equivalent (in general, a minimum of three</w:t>
      </w:r>
      <w:r w:rsidR="00085A1B" w:rsidRPr="00F93368">
        <w:rPr>
          <w:rFonts w:ascii="Arial" w:eastAsia="Times New Roman" w:hAnsi="Arial" w:cs="Arial"/>
          <w:szCs w:val="20"/>
        </w:rPr>
        <w:t xml:space="preserve"> years’ </w:t>
      </w:r>
      <w:r w:rsidRPr="00F93368">
        <w:rPr>
          <w:rFonts w:ascii="Arial" w:eastAsia="Times New Roman" w:hAnsi="Arial" w:cs="Arial"/>
          <w:szCs w:val="20"/>
        </w:rPr>
        <w:t>recent experience in teaching is considered necessary)</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high-level professional standing within the teaching community</w:t>
      </w:r>
      <w:r w:rsidR="00AF6D99">
        <w:rPr>
          <w:rFonts w:ascii="Arial" w:eastAsia="Times New Roman" w:hAnsi="Arial" w:cs="Arial"/>
          <w:szCs w:val="20"/>
        </w:rPr>
        <w:t>;</w:t>
      </w:r>
      <w:r w:rsidR="00AF6D99" w:rsidRPr="00F93368">
        <w:rPr>
          <w:rFonts w:ascii="Arial" w:eastAsia="Times New Roman" w:hAnsi="Arial" w:cs="Arial"/>
          <w:szCs w:val="20"/>
        </w:rPr>
        <w:t xml:space="preserve"> </w:t>
      </w:r>
      <w:r w:rsidRPr="00F93368">
        <w:rPr>
          <w:rFonts w:ascii="Arial" w:eastAsia="Times New Roman" w:hAnsi="Arial" w:cs="Arial"/>
          <w:szCs w:val="20"/>
        </w:rPr>
        <w:t>for example</w:t>
      </w:r>
      <w:r w:rsidR="00AF6D99">
        <w:rPr>
          <w:rFonts w:ascii="Arial" w:eastAsia="Times New Roman" w:hAnsi="Arial" w:cs="Arial"/>
          <w:szCs w:val="20"/>
        </w:rPr>
        <w:t>,</w:t>
      </w:r>
      <w:r w:rsidRPr="00F93368">
        <w:rPr>
          <w:rFonts w:ascii="Arial" w:eastAsia="Times New Roman" w:hAnsi="Arial" w:cs="Arial"/>
          <w:szCs w:val="20"/>
        </w:rPr>
        <w:t xml:space="preserve"> through scholarship in the area to be examined, outstanding teaching or notable contribution to the relevant professional association</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a detailed knowledge of the relevant syllabus</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high-level written and oral communication skills</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 xml:space="preserve">the capacity to apply the Authority’s principles for the development of </w:t>
      </w:r>
      <w:r w:rsidR="00D41219">
        <w:rPr>
          <w:rFonts w:ascii="Arial" w:eastAsia="Times New Roman" w:hAnsi="Arial" w:cs="Arial"/>
          <w:szCs w:val="20"/>
        </w:rPr>
        <w:t>quality</w:t>
      </w:r>
      <w:r w:rsidRPr="00F93368">
        <w:rPr>
          <w:rFonts w:ascii="Arial" w:eastAsia="Times New Roman" w:hAnsi="Arial" w:cs="Arial"/>
          <w:szCs w:val="20"/>
        </w:rPr>
        <w:t xml:space="preserve"> examination </w:t>
      </w:r>
      <w:r w:rsidR="00E1777F">
        <w:rPr>
          <w:rFonts w:ascii="Arial" w:eastAsia="Times New Roman" w:hAnsi="Arial" w:cs="Arial"/>
          <w:szCs w:val="20"/>
        </w:rPr>
        <w:t xml:space="preserve">materials </w:t>
      </w:r>
      <w:r w:rsidRPr="00F93368">
        <w:rPr>
          <w:rFonts w:ascii="Arial" w:eastAsia="Times New Roman" w:hAnsi="Arial" w:cs="Arial"/>
          <w:szCs w:val="20"/>
        </w:rPr>
        <w:t>and marking keys</w:t>
      </w:r>
    </w:p>
    <w:p w:rsidR="00482766" w:rsidRPr="00F93368" w:rsidRDefault="00482766" w:rsidP="00225D21">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25" w:lineRule="auto"/>
        <w:ind w:left="284" w:hanging="284"/>
        <w:rPr>
          <w:rFonts w:ascii="Arial" w:eastAsia="Times New Roman" w:hAnsi="Arial" w:cs="Arial"/>
          <w:szCs w:val="20"/>
        </w:rPr>
      </w:pPr>
      <w:proofErr w:type="gramStart"/>
      <w:r w:rsidRPr="00F93368">
        <w:rPr>
          <w:rFonts w:ascii="Arial" w:eastAsia="Times New Roman" w:hAnsi="Arial" w:cs="Arial"/>
          <w:szCs w:val="20"/>
        </w:rPr>
        <w:t>the</w:t>
      </w:r>
      <w:proofErr w:type="gramEnd"/>
      <w:r w:rsidRPr="00F93368">
        <w:rPr>
          <w:rFonts w:ascii="Arial" w:eastAsia="Times New Roman" w:hAnsi="Arial" w:cs="Arial"/>
          <w:szCs w:val="20"/>
        </w:rPr>
        <w:t xml:space="preserve"> capacity to work </w:t>
      </w:r>
      <w:r w:rsidR="00AF6D99" w:rsidRPr="00F93368">
        <w:rPr>
          <w:rFonts w:ascii="Arial" w:eastAsia="Times New Roman" w:hAnsi="Arial" w:cs="Arial"/>
          <w:szCs w:val="20"/>
        </w:rPr>
        <w:t>collegia</w:t>
      </w:r>
      <w:r w:rsidR="00AF6D99">
        <w:rPr>
          <w:rFonts w:ascii="Arial" w:eastAsia="Times New Roman" w:hAnsi="Arial" w:cs="Arial"/>
          <w:szCs w:val="20"/>
        </w:rPr>
        <w:t>l</w:t>
      </w:r>
      <w:r w:rsidR="00AF6D99" w:rsidRPr="00F93368">
        <w:rPr>
          <w:rFonts w:ascii="Arial" w:eastAsia="Times New Roman" w:hAnsi="Arial" w:cs="Arial"/>
          <w:szCs w:val="20"/>
        </w:rPr>
        <w:t xml:space="preserve">ly </w:t>
      </w:r>
      <w:r w:rsidRPr="00F93368">
        <w:rPr>
          <w:rFonts w:ascii="Arial" w:eastAsia="Times New Roman" w:hAnsi="Arial" w:cs="Arial"/>
          <w:szCs w:val="20"/>
        </w:rPr>
        <w:t xml:space="preserve">in a team </w:t>
      </w:r>
      <w:r w:rsidR="00792922" w:rsidRPr="00F93368">
        <w:rPr>
          <w:rFonts w:ascii="Arial" w:eastAsia="Times New Roman" w:hAnsi="Arial" w:cs="Arial"/>
          <w:szCs w:val="20"/>
        </w:rPr>
        <w:t>to deliver</w:t>
      </w:r>
      <w:r w:rsidRPr="00F93368">
        <w:rPr>
          <w:rFonts w:ascii="Arial" w:eastAsia="Times New Roman" w:hAnsi="Arial" w:cs="Arial"/>
          <w:szCs w:val="20"/>
        </w:rPr>
        <w:t xml:space="preserve"> examination materials </w:t>
      </w:r>
      <w:r w:rsidR="00792922" w:rsidRPr="00F93368">
        <w:rPr>
          <w:rFonts w:ascii="Arial" w:eastAsia="Times New Roman" w:hAnsi="Arial" w:cs="Arial"/>
          <w:szCs w:val="20"/>
        </w:rPr>
        <w:t>at</w:t>
      </w:r>
      <w:r w:rsidRPr="00F93368">
        <w:rPr>
          <w:rFonts w:ascii="Arial" w:eastAsia="Times New Roman" w:hAnsi="Arial" w:cs="Arial"/>
          <w:szCs w:val="20"/>
        </w:rPr>
        <w:t xml:space="preserve"> specified deadlines.</w:t>
      </w:r>
    </w:p>
    <w:p w:rsidR="00482766" w:rsidRPr="00F93368" w:rsidRDefault="00482766" w:rsidP="00482766">
      <w:pPr>
        <w:spacing w:before="60"/>
        <w:rPr>
          <w:rFonts w:ascii="Arial" w:eastAsia="Times New Roman" w:hAnsi="Arial" w:cs="Arial"/>
          <w:szCs w:val="20"/>
        </w:rPr>
      </w:pPr>
      <w:r w:rsidRPr="00F93368">
        <w:rPr>
          <w:rFonts w:ascii="Arial" w:eastAsia="Times New Roman" w:hAnsi="Arial" w:cs="Arial"/>
          <w:szCs w:val="20"/>
        </w:rPr>
        <w:t>In additi</w:t>
      </w:r>
      <w:r w:rsidR="00792922" w:rsidRPr="00F93368">
        <w:rPr>
          <w:rFonts w:ascii="Arial" w:eastAsia="Times New Roman" w:hAnsi="Arial" w:cs="Arial"/>
          <w:szCs w:val="20"/>
        </w:rPr>
        <w:t>on, applicants for the role of Chief examiner/E</w:t>
      </w:r>
      <w:r w:rsidRPr="00F93368">
        <w:rPr>
          <w:rFonts w:ascii="Arial" w:eastAsia="Times New Roman" w:hAnsi="Arial" w:cs="Arial"/>
          <w:szCs w:val="20"/>
        </w:rPr>
        <w:t xml:space="preserve">xamination writer are expected to be available throughout the </w:t>
      </w:r>
      <w:r w:rsidRPr="00F93368">
        <w:rPr>
          <w:rFonts w:ascii="Arial" w:eastAsia="Times New Roman" w:hAnsi="Arial" w:cs="Arial"/>
          <w:b/>
          <w:szCs w:val="20"/>
        </w:rPr>
        <w:t>entire</w:t>
      </w:r>
      <w:r w:rsidRPr="00F93368">
        <w:rPr>
          <w:rFonts w:ascii="Arial" w:eastAsia="Times New Roman" w:hAnsi="Arial" w:cs="Arial"/>
          <w:szCs w:val="20"/>
        </w:rPr>
        <w:t xml:space="preserve"> development process and to demonstrate the:</w:t>
      </w:r>
    </w:p>
    <w:p w:rsidR="00482766"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capacity to p</w:t>
      </w:r>
      <w:r w:rsidR="00FB1F08">
        <w:rPr>
          <w:rFonts w:ascii="Arial" w:eastAsia="Times New Roman" w:hAnsi="Arial" w:cs="Arial"/>
          <w:szCs w:val="20"/>
        </w:rPr>
        <w:t>rovide leadership to the examination</w:t>
      </w:r>
      <w:r w:rsidRPr="00F93368">
        <w:rPr>
          <w:rFonts w:ascii="Arial" w:eastAsia="Times New Roman" w:hAnsi="Arial" w:cs="Arial"/>
          <w:szCs w:val="20"/>
        </w:rPr>
        <w:t xml:space="preserve"> panel in the preparation of examination materials</w:t>
      </w:r>
    </w:p>
    <w:p w:rsidR="00792922" w:rsidRPr="00F93368" w:rsidRDefault="00482766" w:rsidP="00482766">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r w:rsidRPr="00F93368">
        <w:rPr>
          <w:rFonts w:ascii="Arial" w:eastAsia="Times New Roman" w:hAnsi="Arial" w:cs="Arial"/>
          <w:szCs w:val="20"/>
        </w:rPr>
        <w:t xml:space="preserve">ability to manage the work of the </w:t>
      </w:r>
      <w:r w:rsidR="00FB1F08">
        <w:rPr>
          <w:rFonts w:ascii="Arial" w:eastAsia="Times New Roman" w:hAnsi="Arial" w:cs="Arial"/>
          <w:szCs w:val="20"/>
        </w:rPr>
        <w:t>examination</w:t>
      </w:r>
      <w:r w:rsidR="00792922" w:rsidRPr="00F93368">
        <w:rPr>
          <w:rFonts w:ascii="Arial" w:eastAsia="Times New Roman" w:hAnsi="Arial" w:cs="Arial"/>
          <w:szCs w:val="20"/>
        </w:rPr>
        <w:t xml:space="preserve"> </w:t>
      </w:r>
      <w:r w:rsidRPr="00F93368">
        <w:rPr>
          <w:rFonts w:ascii="Arial" w:eastAsia="Times New Roman" w:hAnsi="Arial" w:cs="Arial"/>
          <w:szCs w:val="20"/>
        </w:rPr>
        <w:t>panel and meet deadlines</w:t>
      </w:r>
    </w:p>
    <w:p w:rsidR="00482766" w:rsidRPr="00225D21" w:rsidRDefault="00792922" w:rsidP="00AF6D99">
      <w:pPr>
        <w:numPr>
          <w:ilvl w:val="0"/>
          <w:numId w:val="2"/>
        </w:numPr>
        <w:tabs>
          <w:tab w:val="left" w:pos="-907"/>
          <w:tab w:val="left" w:pos="0"/>
          <w:tab w:val="left" w:pos="284"/>
          <w:tab w:val="num" w:pos="578"/>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ind w:left="284" w:hanging="284"/>
        <w:rPr>
          <w:rFonts w:ascii="Arial" w:eastAsia="Times New Roman" w:hAnsi="Arial" w:cs="Arial"/>
          <w:szCs w:val="20"/>
        </w:rPr>
      </w:pPr>
      <w:proofErr w:type="gramStart"/>
      <w:r w:rsidRPr="00F93368">
        <w:rPr>
          <w:rFonts w:ascii="Arial" w:eastAsia="Times New Roman" w:hAnsi="Arial" w:cs="Arial"/>
          <w:szCs w:val="20"/>
        </w:rPr>
        <w:t>ability</w:t>
      </w:r>
      <w:proofErr w:type="gramEnd"/>
      <w:r w:rsidRPr="00F93368">
        <w:rPr>
          <w:rFonts w:ascii="Arial" w:eastAsia="Times New Roman" w:hAnsi="Arial" w:cs="Arial"/>
          <w:szCs w:val="20"/>
        </w:rPr>
        <w:t xml:space="preserve"> to engage with and respond to the Authori</w:t>
      </w:r>
      <w:r w:rsidR="00F93368">
        <w:rPr>
          <w:rFonts w:ascii="Arial" w:eastAsia="Times New Roman" w:hAnsi="Arial" w:cs="Arial"/>
          <w:szCs w:val="20"/>
        </w:rPr>
        <w:t>ty’s quality assurance processes</w:t>
      </w:r>
      <w:r w:rsidR="00C26329">
        <w:rPr>
          <w:rFonts w:ascii="Arial" w:eastAsia="Times New Roman" w:hAnsi="Arial" w:cs="Arial"/>
          <w:szCs w:val="20"/>
        </w:rPr>
        <w:t>.</w:t>
      </w:r>
    </w:p>
    <w:sectPr w:rsidR="00482766" w:rsidRPr="00225D21" w:rsidSect="00E00346">
      <w:footerReference w:type="default" r:id="rId7"/>
      <w:headerReference w:type="first" r:id="rId8"/>
      <w:footerReference w:type="first" r:id="rId9"/>
      <w:endnotePr>
        <w:numFmt w:val="decimal"/>
      </w:endnotePr>
      <w:pgSz w:w="11907" w:h="16840"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48" w:rsidRDefault="00765848" w:rsidP="00097ACD">
      <w:r>
        <w:separator/>
      </w:r>
    </w:p>
  </w:endnote>
  <w:endnote w:type="continuationSeparator" w:id="0">
    <w:p w:rsidR="00765848" w:rsidRDefault="00765848" w:rsidP="000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2" w:rsidRPr="004D59E9" w:rsidRDefault="000F6D90" w:rsidP="0068619E">
    <w:pPr>
      <w:pStyle w:val="Footer"/>
      <w:tabs>
        <w:tab w:val="right" w:pos="9360"/>
      </w:tabs>
      <w:rPr>
        <w:rFonts w:ascii="Arial" w:hAnsi="Arial" w:cs="Arial"/>
        <w:sz w:val="16"/>
        <w:lang w:val="en-US"/>
      </w:rPr>
    </w:pPr>
    <w:r>
      <w:rPr>
        <w:lang w:val="en-US"/>
      </w:rPr>
      <w:tab/>
    </w:r>
    <w:r w:rsidRPr="004D59E9">
      <w:rPr>
        <w:rStyle w:val="PageNumber"/>
        <w:rFonts w:ascii="Arial" w:hAnsi="Arial" w:cs="Arial"/>
        <w:sz w:val="16"/>
      </w:rPr>
      <w:fldChar w:fldCharType="begin"/>
    </w:r>
    <w:r w:rsidRPr="004D59E9">
      <w:rPr>
        <w:rStyle w:val="PageNumber"/>
        <w:rFonts w:ascii="Arial" w:hAnsi="Arial" w:cs="Arial"/>
        <w:sz w:val="16"/>
      </w:rPr>
      <w:instrText xml:space="preserve"> PAGE </w:instrText>
    </w:r>
    <w:r w:rsidRPr="004D59E9">
      <w:rPr>
        <w:rStyle w:val="PageNumber"/>
        <w:rFonts w:ascii="Arial" w:hAnsi="Arial" w:cs="Arial"/>
        <w:sz w:val="16"/>
      </w:rPr>
      <w:fldChar w:fldCharType="separate"/>
    </w:r>
    <w:r w:rsidR="00AF6D99">
      <w:rPr>
        <w:rStyle w:val="PageNumber"/>
        <w:rFonts w:ascii="Arial" w:hAnsi="Arial" w:cs="Arial"/>
        <w:noProof/>
        <w:sz w:val="16"/>
      </w:rPr>
      <w:t>2</w:t>
    </w:r>
    <w:r w:rsidRPr="004D59E9">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2" w:rsidRDefault="00097ACD" w:rsidP="004D59E9">
    <w:pPr>
      <w:pStyle w:val="Footer"/>
      <w:tabs>
        <w:tab w:val="right" w:pos="9639"/>
      </w:tabs>
    </w:pPr>
    <w:r w:rsidRPr="00F93368">
      <w:rPr>
        <w:rFonts w:ascii="Arial" w:hAnsi="Arial" w:cs="Arial"/>
        <w:sz w:val="18"/>
        <w:szCs w:val="16"/>
        <w:lang w:val="en-US"/>
      </w:rPr>
      <w:t>2018</w:t>
    </w:r>
    <w:r w:rsidR="000F6D90" w:rsidRPr="00F93368">
      <w:rPr>
        <w:rFonts w:ascii="Arial" w:hAnsi="Arial" w:cs="Arial"/>
        <w:sz w:val="18"/>
        <w:szCs w:val="16"/>
        <w:lang w:val="en-US"/>
      </w:rPr>
      <w:t>/</w:t>
    </w:r>
    <w:r w:rsidRPr="00F93368">
      <w:rPr>
        <w:rFonts w:ascii="Arial" w:hAnsi="Arial" w:cs="Arial"/>
        <w:sz w:val="18"/>
        <w:szCs w:val="16"/>
        <w:lang w:val="en-US"/>
      </w:rPr>
      <w:t>41474</w:t>
    </w:r>
    <w:r w:rsidR="00D5216F">
      <w:rPr>
        <w:rFonts w:ascii="Arial" w:hAnsi="Arial" w:cs="Arial"/>
        <w:sz w:val="18"/>
        <w:szCs w:val="16"/>
        <w:lang w:val="en-US"/>
      </w:rPr>
      <w:t>v6</w:t>
    </w:r>
    <w:r w:rsidR="000F6D90">
      <w:rPr>
        <w:rFonts w:ascii="Arial" w:hAnsi="Arial"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48" w:rsidRDefault="00765848" w:rsidP="00097ACD">
      <w:r>
        <w:separator/>
      </w:r>
    </w:p>
  </w:footnote>
  <w:footnote w:type="continuationSeparator" w:id="0">
    <w:p w:rsidR="00765848" w:rsidRDefault="00765848" w:rsidP="000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02" w:rsidRDefault="000F6D90">
    <w:pPr>
      <w:pStyle w:val="Header"/>
    </w:pPr>
    <w:r>
      <w:rPr>
        <w:noProof/>
        <w:lang w:eastAsia="en-AU"/>
      </w:rPr>
      <w:drawing>
        <wp:inline distT="0" distB="0" distL="0" distR="0" wp14:anchorId="0E934357" wp14:editId="428B18F4">
          <wp:extent cx="6106795" cy="548640"/>
          <wp:effectExtent l="0" t="0" r="8255" b="3810"/>
          <wp:docPr id="1" name="Picture 1" descr="SCSA Gov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Gov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123"/>
    <w:multiLevelType w:val="hybridMultilevel"/>
    <w:tmpl w:val="019ACCFC"/>
    <w:lvl w:ilvl="0" w:tplc="68F84934">
      <w:start w:val="1"/>
      <w:numFmt w:val="bullet"/>
      <w:lvlText w:val=""/>
      <w:lvlJc w:val="left"/>
      <w:pPr>
        <w:tabs>
          <w:tab w:val="num" w:pos="720"/>
        </w:tabs>
        <w:ind w:left="720" w:hanging="360"/>
      </w:pPr>
      <w:rPr>
        <w:rFonts w:ascii="Symbol" w:hAnsi="Symbol" w:hint="default"/>
        <w:strike w:val="0"/>
        <w:color w:val="auto"/>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66"/>
    <w:rsid w:val="00024C3A"/>
    <w:rsid w:val="00085A1B"/>
    <w:rsid w:val="00097ACD"/>
    <w:rsid w:val="000A4CE8"/>
    <w:rsid w:val="000F6D90"/>
    <w:rsid w:val="00225D21"/>
    <w:rsid w:val="003D23C8"/>
    <w:rsid w:val="00410860"/>
    <w:rsid w:val="00482766"/>
    <w:rsid w:val="005E08FD"/>
    <w:rsid w:val="00765848"/>
    <w:rsid w:val="00792922"/>
    <w:rsid w:val="008C32A7"/>
    <w:rsid w:val="00AF6D99"/>
    <w:rsid w:val="00B50DF1"/>
    <w:rsid w:val="00C26329"/>
    <w:rsid w:val="00C5243A"/>
    <w:rsid w:val="00C6313A"/>
    <w:rsid w:val="00D41219"/>
    <w:rsid w:val="00D5216F"/>
    <w:rsid w:val="00E1777F"/>
    <w:rsid w:val="00F93368"/>
    <w:rsid w:val="00FB1F08"/>
    <w:rsid w:val="00FC44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EB644-F911-4B03-8758-016EFC7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66"/>
    <w:pPr>
      <w:tabs>
        <w:tab w:val="center" w:pos="4513"/>
        <w:tab w:val="right" w:pos="9026"/>
      </w:tabs>
    </w:pPr>
  </w:style>
  <w:style w:type="character" w:customStyle="1" w:styleId="HeaderChar">
    <w:name w:val="Header Char"/>
    <w:basedOn w:val="DefaultParagraphFont"/>
    <w:link w:val="Header"/>
    <w:uiPriority w:val="99"/>
    <w:rsid w:val="00482766"/>
  </w:style>
  <w:style w:type="paragraph" w:styleId="Footer">
    <w:name w:val="footer"/>
    <w:basedOn w:val="Normal"/>
    <w:link w:val="FooterChar"/>
    <w:uiPriority w:val="99"/>
    <w:unhideWhenUsed/>
    <w:rsid w:val="00482766"/>
    <w:pPr>
      <w:tabs>
        <w:tab w:val="center" w:pos="4513"/>
        <w:tab w:val="right" w:pos="9026"/>
      </w:tabs>
    </w:pPr>
  </w:style>
  <w:style w:type="character" w:customStyle="1" w:styleId="FooterChar">
    <w:name w:val="Footer Char"/>
    <w:basedOn w:val="DefaultParagraphFont"/>
    <w:link w:val="Footer"/>
    <w:uiPriority w:val="99"/>
    <w:rsid w:val="00482766"/>
  </w:style>
  <w:style w:type="character" w:styleId="PageNumber">
    <w:name w:val="page number"/>
    <w:basedOn w:val="DefaultParagraphFont"/>
    <w:rsid w:val="00482766"/>
  </w:style>
  <w:style w:type="paragraph" w:customStyle="1" w:styleId="csbullet">
    <w:name w:val="csbullet"/>
    <w:basedOn w:val="Normal"/>
    <w:rsid w:val="00482766"/>
    <w:pPr>
      <w:numPr>
        <w:numId w:val="1"/>
      </w:numPr>
      <w:tabs>
        <w:tab w:val="left" w:pos="-851"/>
      </w:tabs>
      <w:spacing w:before="120" w:after="120" w:line="280" w:lineRule="exact"/>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85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Cribb</dc:creator>
  <cp:keywords/>
  <dc:description/>
  <cp:lastModifiedBy>Jo Merrey</cp:lastModifiedBy>
  <cp:revision>3</cp:revision>
  <cp:lastPrinted>2020-10-09T01:19:00Z</cp:lastPrinted>
  <dcterms:created xsi:type="dcterms:W3CDTF">2022-09-05T07:00:00Z</dcterms:created>
  <dcterms:modified xsi:type="dcterms:W3CDTF">2022-09-06T04:25:00Z</dcterms:modified>
</cp:coreProperties>
</file>